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П-ЭКМ-б-о-24-1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Статистика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Асрян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Статистика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Асрян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российской государственности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Акопова С.Н.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российской государственности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Акопова С.Н.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Бондаренко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Практика профессиональной коммуникации на русском языке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Шевченко Е.М.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Финансы и денежное обращение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Афанесян М.К.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Финансы в цифровой среде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Афанесян М.К.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Правовая и финансовая грамотность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Карпенко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Малышкина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Микроэкономика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Таран И.Л.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Философия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К6-604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Статистика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Асрян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Философия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Бондаренко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Бондаренко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Практика профессиональной коммуникации на русском языке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Шевченко Е.М.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Финансы и денежное обращение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Афанесян М.К.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Финансы в цифровой среде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Афанесян М.К.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российской государственности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Акопова С.Н.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Малышкина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Микроэкономика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Таран И.Л.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Микроэкономика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Таран И.Л.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