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7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П-ЭКМ-б-о-211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Антимонопольное регулирование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Карпенко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Антимонопольное регулирование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Карпенко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деятельности в сфере государственных закупок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Голубова М.И.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деятельности в сфере государственных закупок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Голубова М.И.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Оценка стоимости бизнеса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Голубова М.И.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жизненым циклом корпораций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Афанесян М.К.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Финансы корпораций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Афанесян М.К.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Финансовая среда корпорации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Афанесян М.К.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Антикризисное бизнес-регулирование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Асрян Г.А.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Антикризисное бизнес-регулирование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Асрян Г.А.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Обеспечение безопасности экономических интересов корпоративных структур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Асрян Г.А.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инвестициями и инновациями в корпорациях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Асрян Г.А.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К6-622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деятельности в сфере государственных закупок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Голубова М.И.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Оценка стоимости бизнеса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Голубова М.И.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Оценка стоимости бизнеса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Голубова М.И.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Финансы корпораций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Афанесян М.К.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Финансы корпораций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Афанесян М.К.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К6-606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Финансовая среда корпорации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Афанесян М.К.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жизненым циклом корпораций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Афанесян М.К.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жизненым циклом корпораций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Афанесян М.К.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Антикризисное бизнес-регулирование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Асрян Г.А.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Обеспечение безопасности экономических интересов корпоративных структур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Асрян Г.А.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Обеспечение безопасности экономических интересов корпоративных структур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Асрян Г.А.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инвестициями и инновациями в корпорациях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Асрян Г.А.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