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П-ЭКМ-б-о-212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 в строительстве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Формирование и анализ бухгалтерской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деятельности в сфере государственных закупок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деятельности в сфере государственных закупок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Формирование и анализ бухгалтерской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Пакеты прикладных программ бухгалтера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Пакеты прикладных программ бухгалтера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Налоговый учет и отчетность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Оценка, реорганизация и банкротство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Оценка, реорганизация и банкротство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Управленческий анализ в отраслях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Управленческий анализ в отраслях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 в строительстве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Налоговый учет и отчетность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Практикум по бухгалтерскому учету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Формирование и анализ бухгалтерской финансовой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Есакова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деятельности в сфере государственных закупок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Практикум по бухгалтерскому учету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Практикум по бухгалтерскому учету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Оценка, реорганизация и банкротство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Управленческий анализ в отраслях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